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a="http://schemas.openxmlformats.org/draw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pPr>
      <w:r>
        <w:rPr/>
        <w:t>关于号召物业服务企业防汛抗洪抢险救灾倡议书</w:t>
      </w:r>
    </w:p>
    <w:p>
      <w:pPr>
        <w:pStyle w:val="12"/>
        <w:jc w:val="left"/>
      </w:pPr>
      <w:r>
        <w:rPr/>
        <w:t>📌 原文链接：</w:t>
      </w:r>
      <w:r>
        <w:rPr/>
        <w:fldChar w:fldCharType="begin"/>
      </w:r>
      <w:r>
        <w:rPr/>
        <w:instrText xml:space="preserve"> HYPERLINK "https://mp.weixin.qq.com/s/reMCW6z0FYJIJswrBz83mA" </w:instrText>
      </w:r>
      <w:r>
        <w:rPr/>
        <w:fldChar w:fldCharType="separate"/>
      </w:r>
      <w:r>
        <w:rPr>
          <w:rStyle w:val="10"/>
          <w:color w:val="AEB5C0"/>
          <w:u w:val="single" w:color="AEB5C0"/>
        </w:rPr>
        <w:t>https://mp.weixin.qq.com/...</w:t>
      </w:r>
      <w:r>
        <w:rPr/>
        <w:fldChar w:fldCharType="end"/>
      </w:r>
      <w:r>
        <w:rPr/>
        <w:t>
</w:t>
      </w:r>
      <w:r>
        <w:rPr/>
        <w:t>🕘 收藏时间：</w:t>
      </w:r>
      <w:r>
        <w:rPr/>
        <w:t>2024年07月09日</w:t>
      </w:r>
      <w:r>
        <w:rPr/>
        <w:t>
</w:t>
      </w:r>
      <w:r>
        <w:rPr/>
        <w:t>📂 文档目录：</w:t>
      </w:r>
      <w:r>
        <w:rPr>
          <w:b/>
          <w:bCs/>
        </w:rPr>
        <w:t>我的云文档/应用/金山收藏助手</w:t>
      </w:r>
      <w:r>
        <w:rPr/>
        <w:t>
</w:t>
      </w:r>
      <w:r>
        <w:rPr/>
        <w:t>📑 本文档由</w:t>
      </w:r>
      <w:r>
        <w:rPr/>
        <w:fldChar w:fldCharType="begin"/>
      </w:r>
      <w:r>
        <w:rPr/>
        <w:instrText xml:space="preserve"> HYPERLINK "https://kdocs.cn/l/cpRidR7kBnn3" </w:instrText>
      </w:r>
      <w:r>
        <w:rPr/>
        <w:fldChar w:fldCharType="separate"/>
      </w:r>
      <w:r>
        <w:rPr>
          <w:rStyle w:val="10"/>
        </w:rPr>
        <w:t>【金山收藏助手】</w:t>
      </w:r>
      <w:r>
        <w:rPr/>
        <w:fldChar w:fldCharType="end"/>
      </w:r>
      <w:r>
        <w:rPr/>
        <w:t>一键生成</w:t>
      </w:r>
    </w:p>
    <w:p>
      <w:pPr>
        <w:jc w:val="left"/>
      </w:pPr>
      <w:r>
        <w:rPr/>
        <w:drawing>
          <wp:inline distT="0" distB="0" distL="0" distR="0">
            <wp:extent cx="5270500" cy="2237034"/>
            <wp:effectExtent l="0" t="0" r="0" b="0"/>
            <wp:docPr id="1" name="Picture 5" descr="c7086b753be99c13a78e794d5310ec34f553ab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7086b753be99c13a78e794d5310ec34f553abfc"/>
                    <pic:cNvPicPr>
                      <a:picLocks noChangeAspect="1"/>
                    </pic:cNvPicPr>
                  </pic:nvPicPr>
                  <pic:blipFill>
                    <a:blip r:embed="rId5"/>
                    <a:stretch>
                      <a:fillRect/>
                    </a:stretch>
                  </pic:blipFill>
                  <pic:spPr>
                    <a:xfrm>
                      <a:off x="0" y="0"/>
                      <a:ext cx="5270500" cy="2237034"/>
                    </a:xfrm>
                    <a:prstGeom prst="rect">
                      <a:avLst/>
                    </a:prstGeom>
                  </pic:spPr>
                </pic:pic>
              </a:graphicData>
            </a:graphic>
          </wp:inline>
        </w:drawing>
      </w:r>
    </w:p>
    <w:p>
      <w:pPr>
        <w:jc w:val="center"/>
      </w:pPr>
      <w:r>
        <w:rPr/>
        <w:drawing>
          <wp:inline distT="0" distB="0" distL="0" distR="0">
            <wp:extent cx="5270500" cy="972417"/>
            <wp:effectExtent l="0" t="0" r="0" b="0"/>
            <wp:docPr id="2" name="Picture 6" descr="cae96afcf6c666cc68fdf660673506a55c77a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ae96afcf6c666cc68fdf660673506a55c77af15"/>
                    <pic:cNvPicPr>
                      <a:picLocks noChangeAspect="1"/>
                    </pic:cNvPicPr>
                  </pic:nvPicPr>
                  <pic:blipFill>
                    <a:blip r:embed="rId6"/>
                    <a:stretch>
                      <a:fillRect/>
                    </a:stretch>
                  </pic:blipFill>
                  <pic:spPr>
                    <a:xfrm>
                      <a:off x="0" y="0"/>
                      <a:ext cx="5270500" cy="972417"/>
                    </a:xfrm>
                    <a:prstGeom prst="rect">
                      <a:avLst/>
                    </a:prstGeom>
                  </pic:spPr>
                </pic:pic>
              </a:graphicData>
            </a:graphic>
          </wp:inline>
        </w:drawing>
      </w:r>
    </w:p>
    <w:p>
      <w:pPr>
        <w:jc w:val="center"/>
      </w:pPr>
    </w:p>
    <w:p>
      <w:pPr>
        <w:jc w:val="center"/>
      </w:pPr>
      <w:r>
        <w:rPr>
          <w:b/>
          <w:bCs/>
          <w:color w:val="333333"/>
          <w:sz w:val="26"/>
          <w:szCs w:val="26"/>
          <w:shd w:val="clear" w:color="ffffff" w:fill="FCF4ED"/>
        </w:rPr>
        <w:t>关于号召物业服务企业防汛抗洪抢险救灾倡议书</w:t>
      </w:r>
    </w:p>
    <w:p>
      <w:pPr>
        <w:jc w:val="left"/>
      </w:pPr>
      <w:r>
        <w:rPr>
          <w:color w:val="333333"/>
          <w:sz w:val="22"/>
          <w:szCs w:val="22"/>
          <w:shd w:val="clear" w:color="ffffff" w:fill="FCF4ED"/>
        </w:rPr>
        <w:t>各物业服务企业：</w:t>
      </w:r>
    </w:p>
    <w:p>
      <w:pPr>
        <w:jc w:val="left"/>
      </w:pPr>
      <w:r>
        <w:rPr>
          <w:color w:val="333333"/>
          <w:sz w:val="22"/>
          <w:szCs w:val="22"/>
          <w:shd w:val="clear" w:color="ffffff" w:fill="FCF4ED"/>
        </w:rPr>
        <w:t>本月以来，我省持续出现大范围暴雨天气，防汛救灾工作面临严峻考验，多地累计降水量逼近或突破历史极值。截至7月7日19时，临沂全市受灾人口3631人，紧急避险转移低洼地带、地质灾害隐患点住户及孤寡老人1939人；菏泽东明县、鄄城县等地突发强对流龙卷风自然灾害，造成88人受伤，其中5人经抢救无效死亡。为深入贯彻落实习近平总书记关于防汛救灾工作重要指示精神和省委、省政府工作部署，坚持以人为本、生命至上的原则，充分发挥物业服务企业主观能动性和党员先锋模范作用，全力保障广大人民群众的生命和财产安全，现向广大物业服务企业发出如下倡议：</w:t>
      </w:r>
    </w:p>
    <w:p>
      <w:pPr>
        <w:jc w:val="left"/>
      </w:pPr>
      <w:r>
        <w:rPr>
          <w:b/>
          <w:bCs/>
          <w:color w:val="AB1942"/>
          <w:sz w:val="22"/>
          <w:szCs w:val="22"/>
          <w:shd w:val="clear" w:color="ffffff" w:fill="FCF4ED"/>
        </w:rPr>
        <w:t>一、压实安全责任 强化组织领导</w:t>
      </w:r>
    </w:p>
    <w:p>
      <w:pPr>
        <w:jc w:val="left"/>
      </w:pPr>
      <w:r>
        <w:rPr>
          <w:color w:val="333333"/>
          <w:sz w:val="22"/>
          <w:szCs w:val="22"/>
          <w:shd w:val="clear" w:color="ffffff" w:fill="FCF4ED"/>
        </w:rPr>
        <w:t>各物业服务企业要高度重视，切实加强组织领导，物业服务区域要严格落实值班人员 24小时坚守岗位的制度，明确物业服务区域防汛责任人，严格落实安全管理主体责任和各项安全防范措施，全面加强汛期物业管理区域安全管理。各物业服务企业要加强应急处置能力建设，成立由公司主要负责人和项目负责人组成的防汛应急工作小组，制定应急预案，做好相关防涝排渍物资储备工作，动员员工成立应急抢险队伍，与应急救援部门建立工作联系，密切关注天气情况，发现紧急情况立即启动应急预案，做好应急处置工作。</w:t>
      </w:r>
    </w:p>
    <w:p>
      <w:pPr>
        <w:jc w:val="left"/>
      </w:pPr>
    </w:p>
    <w:p>
      <w:pPr>
        <w:jc w:val="left"/>
      </w:pPr>
      <w:r>
        <w:rPr>
          <w:b/>
          <w:bCs/>
          <w:color w:val="AB1942"/>
          <w:sz w:val="22"/>
          <w:szCs w:val="22"/>
          <w:shd w:val="clear" w:color="ffffff" w:fill="FCF4ED"/>
        </w:rPr>
        <w:t>二、加大巡查力度 遏制隐患苗头</w:t>
      </w:r>
    </w:p>
    <w:p>
      <w:pPr>
        <w:jc w:val="left"/>
      </w:pPr>
      <w:r>
        <w:rPr>
          <w:color w:val="333333"/>
          <w:sz w:val="22"/>
          <w:szCs w:val="22"/>
          <w:shd w:val="clear" w:color="ffffff" w:fill="FCF4ED"/>
        </w:rPr>
        <w:t>各物业服务企业要组织开展物业服务区域防汛安全巡查工作，着重对室外广告牌、太阳能、围墙、外墙瓷砖、空调室外支架等安全隐患进行排查，配合当地防汛指挥部门对地下车库、地下室的出入口、窗井、风井、下沉广场（庭院）、地下管沟、地下坑井等处的挡水防淹措施进行全面排查，特别是对年久失修的挡水板、防水闸等要进行专门摸排。开展电梯井雨水防护和下水管道清淤疏通工作，对将车库用于住人、储物的要及时清理，加强物业服务区域内消防设施、燃气管道等安全检查，确保消防通道畅通无阻，开展小区排水排污泵运行调试，对排查检查发现的问题要及时整改到位，并建立防汛排渍安全巡查台账。</w:t>
      </w:r>
    </w:p>
    <w:p>
      <w:pPr>
        <w:jc w:val="left"/>
      </w:pPr>
    </w:p>
    <w:p>
      <w:pPr>
        <w:jc w:val="left"/>
      </w:pPr>
      <w:r>
        <w:rPr>
          <w:b/>
          <w:bCs/>
          <w:color w:val="AB1942"/>
          <w:sz w:val="22"/>
          <w:szCs w:val="22"/>
          <w:shd w:val="clear" w:color="ffffff" w:fill="FCF4ED"/>
        </w:rPr>
        <w:t>三、规范宣传引导 提升安全意识</w:t>
      </w:r>
    </w:p>
    <w:p>
      <w:pPr>
        <w:jc w:val="left"/>
      </w:pPr>
      <w:r>
        <w:rPr>
          <w:color w:val="333333"/>
          <w:sz w:val="22"/>
          <w:szCs w:val="22"/>
          <w:shd w:val="clear" w:color="ffffff" w:fill="FCF4ED"/>
        </w:rPr>
        <w:t>物业服务企业要利用物业服务区域宣传平台向业主发送防汛信息，引导业主增强安全防范意识，随时关注天气预报和防汛信息，及时提醒业主关好门窗，清理阳台、户外的私人物品，引导业主将车辆停放到安全区域，设置安全警示标识，引导业主和车辆安全通行。</w:t>
      </w:r>
    </w:p>
    <w:p>
      <w:pPr>
        <w:jc w:val="left"/>
      </w:pPr>
    </w:p>
    <w:p>
      <w:pPr>
        <w:jc w:val="left"/>
      </w:pPr>
      <w:r>
        <w:rPr>
          <w:color w:val="333333"/>
          <w:sz w:val="22"/>
          <w:szCs w:val="22"/>
          <w:shd w:val="clear" w:color="ffffff" w:fill="FCF4ED"/>
        </w:rPr>
        <w:t>请各物业服务企业、物业服务区域扎实做好防汛工作，从源头上防范化解强降水灾害的重大风险，减少极端天气造成的损害，确保各项防范措施落实到位，全力以赴保卫广大人民群众生命财产安全。</w:t>
      </w:r>
    </w:p>
    <w:p>
      <w:pPr>
        <w:jc w:val="left"/>
      </w:pPr>
    </w:p>
    <w:p>
      <w:pPr>
        <w:jc w:val="left"/>
      </w:pPr>
      <w:r>
        <w:rPr>
          <w:color w:val="333333"/>
          <w:sz w:val="22"/>
          <w:szCs w:val="22"/>
          <w:shd w:val="clear" w:color="ffffff" w:fill="FCF4ED"/>
        </w:rPr>
        <w:t>特此通知。</w:t>
      </w:r>
    </w:p>
    <w:p>
      <w:pPr>
        <w:jc w:val="left"/>
      </w:pPr>
    </w:p>
    <w:p>
      <w:pPr>
        <w:jc w:val="right"/>
      </w:pPr>
      <w:r>
        <w:rPr>
          <w:color w:val="333333"/>
          <w:sz w:val="22"/>
          <w:szCs w:val="22"/>
          <w:shd w:val="clear" w:color="ffffff" w:fill="FCF4ED"/>
        </w:rPr>
        <w:t>山东省物业管理协会</w:t>
      </w:r>
    </w:p>
    <w:p>
      <w:pPr>
        <w:jc w:val="right"/>
      </w:pPr>
      <w:r>
        <w:rPr>
          <w:color w:val="333333"/>
          <w:sz w:val="22"/>
          <w:szCs w:val="22"/>
          <w:shd w:val="clear" w:color="ffffff" w:fill="FCF4ED"/>
        </w:rPr>
        <w:t>2024年7月8日</w:t>
      </w:r>
    </w:p>
    <w:p>
      <w:pPr>
        <w:jc w:val="center"/>
      </w:pPr>
      <w:r>
        <w:rPr/>
        <w:drawing>
          <wp:inline distT="0" distB="0" distL="0" distR="0">
            <wp:extent cx="5270500" cy="2242891"/>
            <wp:effectExtent l="0" t="0" r="0" b="0"/>
            <wp:docPr id="3" name="Picture 7" descr="fd576cc771df09672f7f5605ebcb47ca1b35b9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fd576cc771df09672f7f5605ebcb47ca1b35b92a"/>
                    <pic:cNvPicPr>
                      <a:picLocks noChangeAspect="1"/>
                    </pic:cNvPicPr>
                  </pic:nvPicPr>
                  <pic:blipFill>
                    <a:blip r:embed="rId7"/>
                    <a:stretch>
                      <a:fillRect/>
                    </a:stretch>
                  </pic:blipFill>
                  <pic:spPr>
                    <a:xfrm>
                      <a:off x="0" y="0"/>
                      <a:ext cx="5270500" cy="2242891"/>
                    </a:xfrm>
                    <a:prstGeom prst="rect">
                      <a:avLst/>
                    </a:prstGeom>
                  </pic:spPr>
                </pic:pic>
              </a:graphicData>
            </a:graphic>
          </wp:inline>
        </w:drawing>
      </w:r>
    </w:p>
    <w:p>
      <w:pPr>
        <w:jc w:val="center"/>
      </w:pPr>
      <w:r>
        <w:rPr/>
        <w:drawing>
          <wp:inline distT="0" distB="0" distL="0" distR="0">
            <wp:extent cx="5270500" cy="2242891"/>
            <wp:effectExtent l="0" t="0" r="0" b="0"/>
            <wp:docPr id="4" name="Picture 8" descr="01d692873fa31143f965115d0d842ac0d0e947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01d692873fa31143f965115d0d842ac0d0e947fd"/>
                    <pic:cNvPicPr>
                      <a:picLocks noChangeAspect="1"/>
                    </pic:cNvPicPr>
                  </pic:nvPicPr>
                  <pic:blipFill>
                    <a:blip r:embed="rId8"/>
                    <a:stretch>
                      <a:fillRect/>
                    </a:stretch>
                  </pic:blipFill>
                  <pic:spPr>
                    <a:xfrm>
                      <a:off x="0" y="0"/>
                      <a:ext cx="5270500" cy="2242891"/>
                    </a:xfrm>
                    <a:prstGeom prst="rect">
                      <a:avLst/>
                    </a:prstGeom>
                  </pic:spPr>
                </pic:pic>
              </a:graphicData>
            </a:graphic>
          </wp:inline>
        </w:drawing>
      </w:r>
    </w:p>
    <w:p>
      <w:pPr>
        <w:jc w:val="center"/>
      </w:pPr>
      <w:r>
        <w:rPr/>
        <w:drawing>
          <wp:inline distT="0" distB="0" distL="0" distR="0">
            <wp:extent cx="5270500" cy="2242891"/>
            <wp:effectExtent l="0" t="0" r="0" b="0"/>
            <wp:docPr id="5" name="Picture 9" descr="3931104008d65ef19084ac18cd1631e4660de0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3931104008d65ef19084ac18cd1631e4660de0ff"/>
                    <pic:cNvPicPr>
                      <a:picLocks noChangeAspect="1"/>
                    </pic:cNvPicPr>
                  </pic:nvPicPr>
                  <pic:blipFill>
                    <a:blip r:embed="rId9"/>
                    <a:stretch>
                      <a:fillRect/>
                    </a:stretch>
                  </pic:blipFill>
                  <pic:spPr>
                    <a:xfrm>
                      <a:off x="0" y="0"/>
                      <a:ext cx="5270500" cy="2242891"/>
                    </a:xfrm>
                    <a:prstGeom prst="rect">
                      <a:avLst/>
                    </a:prstGeom>
                  </pic:spPr>
                </pic:pic>
              </a:graphicData>
            </a:graphic>
          </wp:inline>
        </w:drawing>
      </w:r>
    </w:p>
    <w:p>
      <w:pPr>
        <w:jc w:val="center"/>
      </w:pPr>
      <w:r>
        <w:rPr/>
        <w:drawing>
          <wp:inline distT="0" distB="0" distL="0" distR="0">
            <wp:extent cx="5270500" cy="2234035"/>
            <wp:effectExtent l="0" t="0" r="0" b="0"/>
            <wp:docPr id="6" name="Picture 10" descr="de0994a9c0bfb51907ddbbcad732b264aa07d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de0994a9c0bfb51907ddbbcad732b264aa07def7"/>
                    <pic:cNvPicPr>
                      <a:picLocks noChangeAspect="1"/>
                    </pic:cNvPicPr>
                  </pic:nvPicPr>
                  <pic:blipFill>
                    <a:blip r:embed="rId10"/>
                    <a:stretch>
                      <a:fillRect/>
                    </a:stretch>
                  </pic:blipFill>
                  <pic:spPr>
                    <a:xfrm>
                      <a:off x="0" y="0"/>
                      <a:ext cx="5270500" cy="2234035"/>
                    </a:xfrm>
                    <a:prstGeom prst="rect">
                      <a:avLst/>
                    </a:prstGeom>
                  </pic:spPr>
                </pic:pic>
              </a:graphicData>
            </a:graphic>
          </wp:inline>
        </w:drawing>
      </w:r>
    </w:p>
    <w:p>
      <w:pPr>
        <w:jc w:val="right"/>
      </w:pPr>
      <w:r>
        <w:rPr>
          <w:color w:val="FFC000"/>
          <w:sz w:val="22"/>
          <w:szCs w:val="22"/>
        </w:rPr>
        <w:t>如果喜欢本篇内容，请戳个“在看”</w:t>
      </w:r>
    </w:p>
    <w:p>
      <w:pPr>
        <w:jc w:val="left"/>
      </w:pPr>
      <w:r>
        <w:rPr/>
        <w:drawing>
          <wp:inline distT="0" distB="0" distL="0" distR="0">
            <wp:extent cx="209550" cy="209550"/>
            <wp:effectExtent l="0" t="0" r="0" b="0"/>
            <wp:docPr id="7" name="Picture 11" descr="d5c9d8be9714dfe3f949ab77ff35e2268b8dc6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descr="d5c9d8be9714dfe3f949ab77ff35e2268b8dc6a9"/>
                    <pic:cNvPicPr>
                      <a:picLocks noChangeAspect="1"/>
                    </pic:cNvPicPr>
                  </pic:nvPicPr>
                  <pic:blipFill>
                    <a:blip r:embed="rId11"/>
                    <a:stretch>
                      <a:fillRect/>
                    </a:stretch>
                  </pic:blipFill>
                  <pic:spPr>
                    <a:xfrm>
                      <a:off x="0" y="0"/>
                      <a:ext cx="209550" cy="209550"/>
                    </a:xfrm>
                    <a:prstGeom prst="rect">
                      <a:avLst/>
                    </a:prstGeom>
                  </pic:spPr>
                </pic:pic>
              </a:graphicData>
            </a:graphic>
          </wp:inline>
        </w:drawing>
      </w:r>
    </w:p>
    <w:p>
      <w:pPr>
        <w:jc w:val="left"/>
      </w:pPr>
      <w:r>
        <w:rPr/>
        <w:drawing>
          <wp:inline distT="0" distB="0" distL="0" distR="0">
            <wp:extent cx="2590800" cy="2590800"/>
            <wp:effectExtent l="0" t="0" r="0" b="0"/>
            <wp:docPr id="8" name="Picture 12" descr="6608620aa9a3c6e97aeadb53516be56777f982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6608620aa9a3c6e97aeadb53516be56777f982b5"/>
                    <pic:cNvPicPr>
                      <a:picLocks noChangeAspect="1"/>
                    </pic:cNvPicPr>
                  </pic:nvPicPr>
                  <pic:blipFill>
                    <a:blip r:embed="rId12"/>
                    <a:stretch>
                      <a:fillRect/>
                    </a:stretch>
                  </pic:blipFill>
                  <pic:spPr>
                    <a:xfrm>
                      <a:off x="0" y="0"/>
                      <a:ext cx="2590800" cy="2590800"/>
                    </a:xfrm>
                    <a:prstGeom prst="rect">
                      <a:avLst/>
                    </a:prstGeom>
                  </pic:spPr>
                </pic:pic>
              </a:graphicData>
            </a:graphic>
          </wp:inline>
        </w:drawing>
      </w:r>
    </w:p>
    <w:p>
      <w:pPr>
        <w:jc w:val="left"/>
      </w:pPr>
    </w:p>
    <w:p>
      <w:pPr>
        <w:jc w:val="left"/>
      </w:pPr>
      <w:r>
        <w:rPr/>
        <w:t>山东省物业管理协会</w:t>
      </w:r>
    </w:p>
    <w:sectPr>
      <w:pgSz w:w="11906" w:h="16838" w:orient="portrait"/>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auto"/>
    <w:pitch w:val="default"/>
    <w:sig w:usb0="80000287" w:usb1="2ACF3C50" w:usb2="00000016" w:usb3="00000000" w:csb0="0004001F"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r="http://schemas.openxmlformats.org/officeDocument/2006/relationships" xmlns:w="http://schemas.openxmlformats.org/wordprocessingml/2006/main">
  <w:abstractNum w:abstractNumId="1">
    <w:nsid w:val="20000001"/>
    <w:multiLevelType w:val="singleLevel"/>
    <w:tmpl w:val="20000001"/>
    <w:lvl w:ilvl="0" w:tentative="0">
      <w:start w:val="1"/>
      <w:numFmt w:val="decimal"/>
      <w:pStyle w:val="14"/>
      <w:suff w:val="space"/>
      <w:lvlText w:val="%1 "/>
      <w:lvlJc w:val="right"/>
      <w:pPr/>
      <w:rPr>
        <w:rFonts w:ascii="微软雅黑" w:hAnsi="微软雅黑" w:eastAsia="微软雅黑" w:cs="微软雅黑"/>
        <w:color w:val="C0C6CF"/>
        <w:sz w:val="16"/>
      </w:rPr>
    </w:lvl>
  </w:abstractNum>
  <w:abstractNum w:abstractNumId="2">
    <w:nsid w:val="20000002"/>
    <w:multiLevelType w:val="multilevel"/>
    <w:tmpl w:val="20000002"/>
    <w:lvl w:ilvl="0" w:tentative="0">
      <w:start w:val="1"/>
      <w:numFmt w:val="bullet"/>
      <w:lvlText w:val=""/>
      <w:pPr>
        <w:ind w:left="420" w:hanging="420"/>
      </w:pPr>
      <w:rPr>
        <w:rFonts w:ascii="Wingdings" w:hAnsi="Wingdings" w:eastAsia="Wingdings" w:cs="Wingdings"/>
      </w:rPr>
    </w:lvl>
    <w:lvl w:ilvl="1" w:tentative="0">
      <w:start w:val="1"/>
      <w:numFmt w:val="bullet"/>
      <w:lvlText w:val="¢"/>
      <w:pPr>
        <w:ind w:left="840" w:hanging="420"/>
      </w:pPr>
      <w:rPr>
        <w:rFonts w:ascii="Wingdings" w:hAnsi="Wingdings" w:eastAsia="Wingdings" w:cs="Wingdings"/>
      </w:rPr>
    </w:lvl>
    <w:lvl w:ilvl="2" w:tentative="0">
      <w:start w:val="1"/>
      <w:numFmt w:val="bullet"/>
      <w:lvlText w:val=""/>
      <w:pPr>
        <w:ind w:left="1260" w:hanging="420"/>
      </w:pPr>
      <w:rPr>
        <w:rFonts w:ascii="Wingdings" w:hAnsi="Wingdings" w:eastAsia="Wingdings" w:cs="Wingdings"/>
      </w:rPr>
    </w:lvl>
    <w:lvl w:ilvl="3" w:tentative="0">
      <w:start w:val="1"/>
      <w:numFmt w:val="bullet"/>
      <w:lvlText w:val=""/>
      <w:pPr>
        <w:ind w:left="1680" w:hanging="420"/>
      </w:pPr>
      <w:rPr>
        <w:rFonts w:ascii="Wingdings" w:hAnsi="Wingdings" w:eastAsia="Wingdings" w:cs="Wingdings"/>
      </w:rPr>
    </w:lvl>
    <w:lvl w:ilvl="4" w:tentative="0">
      <w:start w:val="1"/>
      <w:numFmt w:val="bullet"/>
      <w:lvlText w:val="¢"/>
      <w:pPr>
        <w:ind w:left="2100" w:hanging="420"/>
      </w:pPr>
      <w:rPr>
        <w:rFonts w:ascii="Wingdings" w:hAnsi="Wingdings" w:eastAsia="Wingdings" w:cs="Wingdings"/>
      </w:rPr>
    </w:lvl>
    <w:lvl w:ilvl="5" w:tentative="0">
      <w:start w:val="1"/>
      <w:numFmt w:val="bullet"/>
      <w:lvlText w:val=""/>
      <w:pPr>
        <w:ind w:left="2520" w:hanging="420"/>
      </w:pPr>
      <w:rPr>
        <w:rFonts w:ascii="Wingdings" w:hAnsi="Wingdings" w:eastAsia="Wingdings" w:cs="Wingdings"/>
      </w:rPr>
    </w:lvl>
    <w:lvl w:ilvl="6" w:tentative="0">
      <w:start w:val="1"/>
      <w:numFmt w:val="bullet"/>
      <w:lvlText w:val=""/>
      <w:pPr>
        <w:ind w:left="2940" w:hanging="420"/>
      </w:pPr>
      <w:rPr>
        <w:rFonts w:ascii="Wingdings" w:hAnsi="Wingdings" w:eastAsia="Wingdings" w:cs="Wingdings"/>
      </w:rPr>
    </w:lvl>
    <w:lvl w:ilvl="7" w:tentative="0">
      <w:start w:val="1"/>
      <w:numFmt w:val="bullet"/>
      <w:lvlText w:val="¢"/>
      <w:pPr>
        <w:ind w:left="3360" w:hanging="420"/>
      </w:pPr>
      <w:rPr>
        <w:rFonts w:ascii="Wingdings" w:hAnsi="Wingdings" w:eastAsia="Wingdings" w:cs="Wingding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42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name w:val="Normal"/>
    <w:uiPriority w:val="0"/>
    <w:qFormat/>
    <w:pPr>
      <w:textAlignment w:val="baseline"/>
    </w:pPr>
    <w:rPr>
      <w:rFonts w:ascii="微软雅黑" w:hAnsi="微软雅黑" w:eastAsia="微软雅黑" w:cs="微软雅黑"/>
      <w:color w:val="080f17"/>
      <w:sz w:val="22"/>
    </w:rPr>
  </w:style>
  <w:style w:type="paragraph" w:styleId="2">
    <w:name w:val="MainTitle"/>
    <w:basedOn w:val="1"/>
    <w:uiPriority w:val="0"/>
    <w:qFormat/>
    <w:pPr>
      <w:pBdr>
        <w:bottom w:val="single" w:color="e2e6ed" w:sz="6" w:space="5"/>
      </w:pBdr>
      <w:spacing w:before="180" w:after="480" w:line="780" w:lineRule="exact"/>
    </w:pPr>
    <w:rPr>
      <w:b/>
      <w:sz w:val="44"/>
    </w:rPr>
  </w:style>
  <w:style w:type="paragraph" w:styleId="3">
    <w:name w:val="heading 1"/>
    <w:basedOn w:val="1"/>
    <w:uiPriority w:val="0"/>
    <w:qFormat/>
    <w:pPr>
      <w:spacing w:before="390" w:after="120" w:line="634" w:lineRule="exact"/>
      <w:outlineLvl w:val="0"/>
    </w:pPr>
    <w:rPr>
      <w:b/>
      <w:sz w:val="38"/>
    </w:rPr>
  </w:style>
  <w:style w:type="paragraph" w:styleId="4">
    <w:name w:val="heading 2"/>
    <w:basedOn w:val="1"/>
    <w:uiPriority w:val="0"/>
    <w:qFormat/>
    <w:pPr>
      <w:spacing w:before="330" w:after="120" w:line="536" w:lineRule="exact"/>
      <w:outlineLvl w:val="1"/>
    </w:pPr>
    <w:rPr>
      <w:b/>
      <w:sz w:val="32"/>
    </w:rPr>
  </w:style>
  <w:style w:type="paragraph" w:styleId="5">
    <w:name w:val="heading 3"/>
    <w:basedOn w:val="1"/>
    <w:uiPriority w:val="0"/>
    <w:qFormat/>
    <w:pPr>
      <w:spacing w:before="300" w:after="120" w:line="488" w:lineRule="exact"/>
      <w:outlineLvl w:val="2"/>
    </w:pPr>
    <w:rPr>
      <w:b/>
      <w:sz w:val="30"/>
    </w:rPr>
  </w:style>
  <w:style w:type="paragraph" w:styleId="6">
    <w:name w:val="heading 4"/>
    <w:basedOn w:val="1"/>
    <w:uiPriority w:val="0"/>
    <w:qFormat/>
    <w:pPr>
      <w:spacing w:before="270" w:after="120" w:line="439" w:lineRule="exact"/>
      <w:outlineLvl w:val="3"/>
    </w:pPr>
    <w:rPr>
      <w:b/>
      <w:sz w:val="26"/>
    </w:rPr>
  </w:style>
  <w:style w:type="paragraph" w:styleId="7">
    <w:name w:val="heading 5"/>
    <w:basedOn w:val="1"/>
    <w:uiPriority w:val="0"/>
    <w:qFormat/>
    <w:pPr>
      <w:spacing w:before="240" w:after="120" w:line="390" w:lineRule="exact"/>
      <w:outlineLvl w:val="4"/>
    </w:pPr>
    <w:rPr>
      <w:b/>
      <w:sz w:val="22"/>
    </w:rPr>
  </w:style>
  <w:style w:type="paragraph" w:styleId="8">
    <w:name w:val="heading 6"/>
    <w:basedOn w:val="1"/>
    <w:uiPriority w:val="0"/>
    <w:qFormat/>
    <w:pPr>
      <w:spacing w:before="240" w:after="120" w:line="390" w:lineRule="exact"/>
      <w:outlineLvl w:val="5"/>
    </w:pPr>
    <w:rPr>
      <w:b/>
      <w:sz w:val="22"/>
    </w:rPr>
  </w:style>
  <w:style w:type="table" w:styleId="9">
    <w:name w:val="Table Grid"/>
    <w:basedOn w:val="1"/>
    <w:uiPriority w:val="0"/>
    <w:qFormat/>
    <w:rPr/>
    <w:tblPr>
      <w:tblInd w:w="120" w:type="dxa"/>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0">
    <w:name w:val="Hyperlink"/>
    <w:uiPriority w:val="0"/>
    <w:qFormat/>
    <w:rPr>
      <w:color w:val="0A6CFF"/>
      <w:u w:val="single" w:color="0A6CFF"/>
    </w:rPr>
  </w:style>
  <w:style w:type="character" w:styleId="11">
    <w:name w:val="DateTime"/>
    <w:uiPriority w:val="0"/>
    <w:qFormat/>
    <w:rPr>
      <w:color w:val="0A6CFF"/>
    </w:rPr>
  </w:style>
  <w:style w:type="paragraph" w:styleId="12">
    <w:name w:val="Blockquote"/>
    <w:basedOn w:val="1"/>
    <w:uiPriority w:val="0"/>
    <w:qFormat/>
    <w:pPr>
      <w:pBdr>
        <w:left w:val="single" w:color="e2e6ed" w:sz="36" w:space="12"/>
      </w:pBdr>
      <w:ind w:left="330" w:firstLine="0"/>
    </w:pPr>
    <w:rPr>
      <w:color w:val="767c85"/>
      <w:sz w:val="22"/>
    </w:rPr>
  </w:style>
  <w:style w:type="character" w:styleId="13">
    <w:name w:val="Code"/>
    <w:uiPriority w:val="0"/>
    <w:qFormat/>
    <w:rPr>
      <w:bdr w:val="single" w:color="e2e6ed" w:sz="6"/>
    </w:rPr>
  </w:style>
  <w:style w:type="paragraph" w:styleId="14">
    <w:name w:val="CodeBlock"/>
    <w:basedOn w:val="1"/>
    <w:uiPriority w:val="0"/>
    <w:qFormat/>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styleId="15">
    <w:name w:val="HighlightBlock"/>
    <w:basedOn w:val="1"/>
    <w:uiPriority w:val="0"/>
    <w:qFormat/>
    <w:rPr/>
    <w:tblPr>
      <w:tblInd w:w="120" w:type="dxa"/>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shd w:val="clear" w:color="ffffff" w:fill="FAF1E6"/>
      <w:tblCellMar>
        <w:left w:w="108" w:type="dxa"/>
        <w:right w:w="108" w:type="dxa"/>
      </w:tblCellMar>
    </w:tblPr>
  </w:style>
  <w:style w:type="paragraph" w:styleId="16">
    <w:name w:val="Seperate"/>
    <w:basedOn w:val="1"/>
    <w:uiPriority w:val="0"/>
    <w:qFormat/>
    <w:pPr>
      <w:spacing w:before="0" w:after="0" w:line="120" w:lineRule="exact"/>
    </w:pPr>
    <w:rPr/>
  </w:style>
</w:styles>
</file>

<file path=word/_rels/document.xml.rels><?xml version="1.0" encoding="UTF-8" standalone="yes"?><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gif"/><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gif"/><Relationship Id="rId12"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1</TotalTime>
  <LinksUpToDate>false</LinksUpToDate>
  <Application>WPS Office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webotl</dc:creator>
  <cp:lastModifiedBy>webotl</cp:lastModifiedBy>
  <dcterms:created xsi:type="dcterms:W3CDTF">2024-07-09T11:40:18Z</dcterms:created>
  <dcterms:modified xsi:type="dcterms:W3CDTF">2024-07-09T11:40:18Z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ies>
</file>